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4978">
      <w:pPr>
        <w:spacing w:line="360" w:lineRule="auto"/>
        <w:rPr>
          <w:rFonts w:ascii="Times New Roman" w:hAnsi="Times New Roman" w:eastAsia="黑体" w:cs="Times New Roman"/>
          <w:b/>
          <w:bCs/>
          <w:sz w:val="28"/>
          <w:szCs w:val="22"/>
        </w:rPr>
      </w:pPr>
      <w:r>
        <w:rPr>
          <w:rFonts w:ascii="Times New Roman" w:hAnsi="Times New Roman" w:eastAsia="黑体" w:cs="Times New Roman"/>
          <w:b/>
          <w:bCs/>
          <w:sz w:val="28"/>
          <w:szCs w:val="22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2"/>
        </w:rPr>
        <w:t>3</w:t>
      </w:r>
    </w:p>
    <w:p w14:paraId="5F24508A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2025年“华晟杯”全国安全隐患排查技能竞赛</w:t>
      </w:r>
    </w:p>
    <w:p w14:paraId="0F32B71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hint="eastAsia" w:ascii="Times New Roman" w:hAnsi="Times New Roman" w:cs="Times New Roman"/>
          <w:b/>
          <w:bCs/>
          <w:sz w:val="48"/>
          <w:szCs w:val="48"/>
        </w:rPr>
        <w:t>身边安全隐患查找信息表</w:t>
      </w:r>
    </w:p>
    <w:p w14:paraId="4044851B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7A5E776">
      <w:pPr>
        <w:numPr>
          <w:ilvl w:val="0"/>
          <w:numId w:val="1"/>
        </w:numPr>
        <w:tabs>
          <w:tab w:val="left" w:pos="34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隐患图片</w:t>
      </w:r>
      <w:r>
        <w:rPr>
          <w:rFonts w:hint="eastAsia" w:ascii="Times New Roman" w:hAnsi="Times New Roman" w:cs="Times New Roman"/>
          <w:b/>
          <w:sz w:val="28"/>
          <w:szCs w:val="28"/>
        </w:rPr>
        <w:t>（上传时需提交原图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不可压缩，不可来源于网络或AI生成</w:t>
      </w:r>
      <w:r>
        <w:rPr>
          <w:rFonts w:hint="eastAsia" w:ascii="Times New Roman" w:hAnsi="Times New Roman" w:cs="Times New Roman"/>
          <w:b/>
          <w:sz w:val="28"/>
          <w:szCs w:val="28"/>
        </w:rPr>
        <w:t>）</w:t>
      </w:r>
    </w:p>
    <w:p w14:paraId="22AD5D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FD5BF9C">
      <w:pPr>
        <w:rPr>
          <w:rFonts w:ascii="Times New Roman" w:hAnsi="Times New Roman" w:cs="Times New Roman"/>
          <w:sz w:val="28"/>
          <w:szCs w:val="28"/>
        </w:rPr>
      </w:pPr>
    </w:p>
    <w:p w14:paraId="7624B21D">
      <w:pPr>
        <w:rPr>
          <w:rFonts w:ascii="Times New Roman" w:hAnsi="Times New Roman" w:cs="Times New Roman"/>
          <w:sz w:val="28"/>
          <w:szCs w:val="28"/>
        </w:rPr>
      </w:pPr>
    </w:p>
    <w:p w14:paraId="78D1F8D8">
      <w:pPr>
        <w:rPr>
          <w:rFonts w:ascii="Times New Roman" w:hAnsi="Times New Roman" w:cs="Times New Roman"/>
          <w:sz w:val="28"/>
          <w:szCs w:val="28"/>
        </w:rPr>
      </w:pPr>
    </w:p>
    <w:p w14:paraId="2A446F7B">
      <w:pPr>
        <w:rPr>
          <w:rFonts w:ascii="Times New Roman" w:hAnsi="Times New Roman" w:cs="Times New Roman"/>
          <w:sz w:val="28"/>
          <w:szCs w:val="28"/>
        </w:rPr>
      </w:pPr>
    </w:p>
    <w:p w14:paraId="1E7582A6">
      <w:pPr>
        <w:rPr>
          <w:rFonts w:ascii="Times New Roman" w:hAnsi="Times New Roman" w:cs="Times New Roman"/>
          <w:sz w:val="28"/>
          <w:szCs w:val="28"/>
        </w:rPr>
      </w:pPr>
    </w:p>
    <w:p w14:paraId="1D21E04A">
      <w:pPr>
        <w:rPr>
          <w:rFonts w:ascii="Times New Roman" w:hAnsi="Times New Roman" w:cs="Times New Roman"/>
          <w:sz w:val="28"/>
          <w:szCs w:val="28"/>
        </w:rPr>
      </w:pPr>
    </w:p>
    <w:p w14:paraId="37A64363">
      <w:pPr>
        <w:rPr>
          <w:rFonts w:ascii="Times New Roman" w:hAnsi="Times New Roman" w:cs="Times New Roman"/>
          <w:sz w:val="28"/>
          <w:szCs w:val="28"/>
        </w:rPr>
      </w:pPr>
    </w:p>
    <w:p w14:paraId="6BDCC96E">
      <w:pPr>
        <w:rPr>
          <w:rFonts w:ascii="Times New Roman" w:hAnsi="Times New Roman" w:cs="Times New Roman"/>
          <w:sz w:val="28"/>
          <w:szCs w:val="28"/>
        </w:rPr>
      </w:pPr>
    </w:p>
    <w:p w14:paraId="1765DF3C">
      <w:pPr>
        <w:rPr>
          <w:rFonts w:ascii="Times New Roman" w:hAnsi="Times New Roman" w:cs="Times New Roman"/>
          <w:sz w:val="28"/>
          <w:szCs w:val="28"/>
        </w:rPr>
      </w:pPr>
    </w:p>
    <w:p w14:paraId="064F4828">
      <w:pPr>
        <w:rPr>
          <w:rFonts w:ascii="Times New Roman" w:hAnsi="Times New Roman" w:cs="Times New Roman"/>
          <w:sz w:val="28"/>
          <w:szCs w:val="28"/>
        </w:rPr>
      </w:pPr>
    </w:p>
    <w:p w14:paraId="052B17A3">
      <w:pPr>
        <w:rPr>
          <w:rFonts w:ascii="Times New Roman" w:hAnsi="Times New Roman" w:cs="Times New Roman"/>
          <w:sz w:val="28"/>
          <w:szCs w:val="28"/>
        </w:rPr>
      </w:pPr>
    </w:p>
    <w:p w14:paraId="3952B96C">
      <w:pPr>
        <w:rPr>
          <w:rFonts w:ascii="Times New Roman" w:hAnsi="Times New Roman" w:cs="Times New Roman"/>
          <w:sz w:val="28"/>
          <w:szCs w:val="28"/>
        </w:rPr>
      </w:pPr>
    </w:p>
    <w:p w14:paraId="308B8A8F">
      <w:pPr>
        <w:rPr>
          <w:rFonts w:ascii="Times New Roman" w:hAnsi="Times New Roman" w:cs="Times New Roman"/>
          <w:sz w:val="28"/>
          <w:szCs w:val="28"/>
        </w:rPr>
      </w:pPr>
    </w:p>
    <w:p w14:paraId="73A5A9C7">
      <w:pPr>
        <w:rPr>
          <w:rFonts w:ascii="Times New Roman" w:hAnsi="Times New Roman" w:cs="Times New Roman"/>
          <w:sz w:val="28"/>
          <w:szCs w:val="28"/>
        </w:rPr>
      </w:pPr>
    </w:p>
    <w:p w14:paraId="0073F1E7">
      <w:pPr>
        <w:rPr>
          <w:rFonts w:ascii="Times New Roman" w:hAnsi="Times New Roman" w:cs="Times New Roman"/>
          <w:sz w:val="28"/>
          <w:szCs w:val="28"/>
        </w:rPr>
      </w:pPr>
    </w:p>
    <w:p w14:paraId="7B13E296">
      <w:pPr>
        <w:rPr>
          <w:rFonts w:ascii="Times New Roman" w:hAnsi="Times New Roman" w:cs="Times New Roman"/>
          <w:sz w:val="28"/>
          <w:szCs w:val="28"/>
        </w:rPr>
      </w:pPr>
    </w:p>
    <w:p w14:paraId="44E8931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隐患描述</w:t>
      </w:r>
    </w:p>
    <w:p w14:paraId="2960F09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请说明上述图片中存在的安全隐患具体表现及潜在风险。</w:t>
      </w:r>
    </w:p>
    <w:p w14:paraId="06FAB304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251FB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FE680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A6795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821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3D05A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4A9F9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9B66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7A4D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隐患</w:t>
      </w:r>
      <w:r>
        <w:rPr>
          <w:rFonts w:ascii="Times New Roman" w:hAnsi="Times New Roman" w:cs="Times New Roman"/>
          <w:b/>
          <w:bCs/>
          <w:sz w:val="28"/>
          <w:szCs w:val="28"/>
        </w:rPr>
        <w:t>依据</w:t>
      </w:r>
    </w:p>
    <w:p w14:paraId="2DFBF65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列明与该隐患对应的国家或行业安全生产法律法规、标准规范条款（需注明条款编号及完整内容）。</w:t>
      </w:r>
    </w:p>
    <w:p w14:paraId="0D85B0F8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61E44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7DE6C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4A681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8B584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C86DD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02068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AF090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9C7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A93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风险分析</w:t>
      </w:r>
    </w:p>
    <w:p w14:paraId="5077360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结合风险分析的方法，简要说明存在的风险因素，对周边环境及生产系统造成的影响。</w:t>
      </w:r>
    </w:p>
    <w:p w14:paraId="00FB4D57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B31423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7EA24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DF939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A63DF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BECDB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917DC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B0229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9AD5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BE67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整改建议</w:t>
      </w:r>
    </w:p>
    <w:p w14:paraId="1AC66E54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提出具有可操作性的具体整改措施。</w:t>
      </w:r>
    </w:p>
    <w:p w14:paraId="49835E56">
      <w:pPr>
        <w:rPr>
          <w:rFonts w:ascii="Times New Roman" w:hAnsi="Times New Roman" w:cs="Times New Roman"/>
        </w:rPr>
      </w:pPr>
    </w:p>
    <w:p w14:paraId="1AF9F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667AA"/>
    <w:multiLevelType w:val="singleLevel"/>
    <w:tmpl w:val="C6E667AA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52347"/>
    <w:rsid w:val="2E752347"/>
    <w:rsid w:val="2F200A7C"/>
    <w:rsid w:val="3F1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203</Characters>
  <Lines>0</Lines>
  <Paragraphs>0</Paragraphs>
  <TotalTime>20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2025-09-09T02:47:00Z</dcterms:created>
  <dc:creator>WPS_1569903142</dc:creator>
  <cp:lastModifiedBy>WPS_1569903142</cp:lastModifiedBy>
  <dcterms:modified xsi:type="dcterms:W3CDTF">2025-09-17T09:36:52Z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E4AE84A3E90C4D4CBC63C8BBF9726A58_11</vt:lpwstr>
  </property>
  <property fmtid="{D5CDD505-2E9C-101B-9397-08002B2CF9AE}" pid="4" name="KSOTemplateDocerSaveRecord">
    <vt:lpwstr>eyJoZGlkIjoiMDFmMzk4NTM2NjI2NDQzOTVhMzVmMWZhNGY1MzE3ZjUiLCJ1c2VySWQiOiI2NzkxODQwMzQifQ==</vt:lpwstr>
  </property>
</Properties>
</file>